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63ED" w:rsidRPr="00B829D5" w:rsidRDefault="00AF63ED" w:rsidP="00427461">
      <w:pPr>
        <w:shd w:val="clear" w:color="auto" w:fill="FEFEFE"/>
        <w:spacing w:after="0" w:line="240" w:lineRule="auto"/>
        <w:jc w:val="right"/>
        <w:rPr>
          <w:rFonts w:ascii="Times New Roman" w:eastAsia="Times New Roman" w:hAnsi="Times New Roman" w:cs="Times New Roman"/>
          <w:color w:val="000000"/>
          <w:lang w:eastAsia="bg-BG"/>
        </w:rPr>
      </w:pPr>
      <w:r w:rsidRPr="00B829D5">
        <w:rPr>
          <w:rFonts w:ascii="Times New Roman" w:eastAsia="Times New Roman" w:hAnsi="Times New Roman" w:cs="Times New Roman"/>
          <w:color w:val="000000"/>
          <w:lang w:eastAsia="bg-BG"/>
        </w:rPr>
        <w:t xml:space="preserve">Приложение № </w:t>
      </w:r>
      <w:r w:rsidR="00F55C46">
        <w:rPr>
          <w:rFonts w:ascii="Times New Roman" w:eastAsia="Times New Roman" w:hAnsi="Times New Roman" w:cs="Times New Roman"/>
          <w:color w:val="000000"/>
          <w:lang w:eastAsia="bg-BG"/>
        </w:rPr>
        <w:t>10</w:t>
      </w:r>
    </w:p>
    <w:tbl>
      <w:tblPr>
        <w:tblpPr w:leftFromText="141" w:rightFromText="141" w:vertAnchor="page" w:horzAnchor="margin" w:tblpXSpec="center" w:tblpY="991"/>
        <w:tblW w:w="54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3"/>
        <w:gridCol w:w="2452"/>
        <w:gridCol w:w="3036"/>
        <w:gridCol w:w="2406"/>
      </w:tblGrid>
      <w:tr w:rsidR="00344970" w:rsidRPr="00344970" w:rsidTr="00191937">
        <w:trPr>
          <w:trHeight w:val="1408"/>
        </w:trPr>
        <w:tc>
          <w:tcPr>
            <w:tcW w:w="1159" w:type="pct"/>
            <w:vAlign w:val="center"/>
            <w:hideMark/>
          </w:tcPr>
          <w:p w:rsidR="00344970" w:rsidRPr="00344970" w:rsidRDefault="00344970" w:rsidP="00344970">
            <w:pPr>
              <w:spacing w:after="0" w:line="276" w:lineRule="auto"/>
              <w:jc w:val="both"/>
              <w:rPr>
                <w:rFonts w:ascii="Times New Roman" w:eastAsia="Times New Roman" w:hAnsi="Times New Roman" w:cs="Times New Roman"/>
                <w:sz w:val="20"/>
                <w:szCs w:val="20"/>
                <w:lang w:eastAsia="bg-BG"/>
              </w:rPr>
            </w:pPr>
          </w:p>
          <w:p w:rsidR="00344970" w:rsidRPr="00344970" w:rsidRDefault="00344970" w:rsidP="00344970">
            <w:pPr>
              <w:spacing w:after="0" w:line="276" w:lineRule="auto"/>
              <w:jc w:val="center"/>
              <w:rPr>
                <w:rFonts w:ascii="Times New Roman" w:eastAsia="Times New Roman" w:hAnsi="Times New Roman" w:cs="Times New Roman"/>
                <w:sz w:val="20"/>
                <w:szCs w:val="20"/>
                <w:lang w:val="x-none" w:eastAsia="bg-BG"/>
              </w:rPr>
            </w:pPr>
            <w:r w:rsidRPr="00344970">
              <w:rPr>
                <w:rFonts w:ascii="Times New Roman" w:eastAsia="Times New Roman" w:hAnsi="Times New Roman" w:cs="Times New Roman"/>
                <w:noProof/>
                <w:sz w:val="20"/>
                <w:szCs w:val="20"/>
                <w:lang w:eastAsia="bg-BG"/>
              </w:rPr>
              <w:drawing>
                <wp:inline distT="0" distB="0" distL="0" distR="0" wp14:anchorId="0D0446E8" wp14:editId="7820D9FD">
                  <wp:extent cx="1009650" cy="657225"/>
                  <wp:effectExtent l="0" t="0" r="0" b="9525"/>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009650" cy="657225"/>
                          </a:xfrm>
                          <a:prstGeom prst="rect">
                            <a:avLst/>
                          </a:prstGeom>
                          <a:noFill/>
                          <a:ln>
                            <a:noFill/>
                          </a:ln>
                        </pic:spPr>
                      </pic:pic>
                    </a:graphicData>
                  </a:graphic>
                </wp:inline>
              </w:drawing>
            </w:r>
          </w:p>
          <w:p w:rsidR="00344970" w:rsidRPr="00344970" w:rsidRDefault="00344970" w:rsidP="00344970">
            <w:pPr>
              <w:spacing w:after="0" w:line="276" w:lineRule="auto"/>
              <w:jc w:val="center"/>
              <w:rPr>
                <w:rFonts w:ascii="Times New Roman" w:eastAsia="Times New Roman" w:hAnsi="Times New Roman" w:cs="Times New Roman"/>
                <w:sz w:val="20"/>
                <w:szCs w:val="20"/>
                <w:lang w:val="x-none" w:eastAsia="bg-BG"/>
              </w:rPr>
            </w:pPr>
            <w:r w:rsidRPr="00344970">
              <w:rPr>
                <w:rFonts w:ascii="Times New Roman" w:eastAsia="Times New Roman" w:hAnsi="Times New Roman" w:cs="Times New Roman"/>
                <w:sz w:val="20"/>
                <w:szCs w:val="20"/>
                <w:lang w:val="x-none" w:eastAsia="bg-BG"/>
              </w:rPr>
              <w:t>Европейски съюз</w:t>
            </w:r>
          </w:p>
        </w:tc>
        <w:tc>
          <w:tcPr>
            <w:tcW w:w="1287" w:type="pct"/>
            <w:hideMark/>
          </w:tcPr>
          <w:p w:rsidR="00344970" w:rsidRPr="00344970" w:rsidRDefault="00344970" w:rsidP="00344970">
            <w:pPr>
              <w:spacing w:after="0" w:line="276" w:lineRule="auto"/>
              <w:jc w:val="both"/>
              <w:rPr>
                <w:rFonts w:ascii="Times New Roman" w:eastAsia="Times New Roman" w:hAnsi="Times New Roman" w:cs="Times New Roman"/>
                <w:i/>
                <w:iCs/>
                <w:sz w:val="20"/>
                <w:szCs w:val="20"/>
                <w:lang w:val="x-none" w:eastAsia="bg-BG"/>
              </w:rPr>
            </w:pPr>
          </w:p>
          <w:p w:rsidR="00344970" w:rsidRPr="00344970" w:rsidRDefault="00344970" w:rsidP="00344970">
            <w:pPr>
              <w:spacing w:after="0" w:line="276" w:lineRule="auto"/>
              <w:jc w:val="center"/>
              <w:rPr>
                <w:rFonts w:ascii="Times New Roman" w:eastAsia="Times New Roman" w:hAnsi="Times New Roman" w:cs="Times New Roman"/>
                <w:i/>
                <w:iCs/>
                <w:sz w:val="20"/>
                <w:szCs w:val="20"/>
                <w:lang w:val="x-none" w:eastAsia="bg-BG"/>
              </w:rPr>
            </w:pPr>
            <w:r w:rsidRPr="00344970">
              <w:rPr>
                <w:rFonts w:ascii="Times New Roman" w:eastAsia="Times New Roman" w:hAnsi="Times New Roman" w:cs="Times New Roman"/>
                <w:noProof/>
                <w:sz w:val="20"/>
                <w:szCs w:val="20"/>
                <w:lang w:eastAsia="bg-BG"/>
              </w:rPr>
              <w:drawing>
                <wp:inline distT="0" distB="0" distL="0" distR="0" wp14:anchorId="1F57C974" wp14:editId="05D83B70">
                  <wp:extent cx="762000" cy="600075"/>
                  <wp:effectExtent l="0" t="0" r="0" b="9525"/>
                  <wp:docPr id="7" name="Картина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62000" cy="600075"/>
                          </a:xfrm>
                          <a:prstGeom prst="rect">
                            <a:avLst/>
                          </a:prstGeom>
                          <a:noFill/>
                          <a:ln>
                            <a:noFill/>
                          </a:ln>
                        </pic:spPr>
                      </pic:pic>
                    </a:graphicData>
                  </a:graphic>
                </wp:inline>
              </w:drawing>
            </w:r>
          </w:p>
        </w:tc>
        <w:tc>
          <w:tcPr>
            <w:tcW w:w="1482" w:type="pct"/>
            <w:vAlign w:val="center"/>
          </w:tcPr>
          <w:p w:rsidR="00344970" w:rsidRPr="00344970" w:rsidRDefault="00344970" w:rsidP="00344970">
            <w:pPr>
              <w:spacing w:after="0" w:line="276" w:lineRule="auto"/>
              <w:jc w:val="center"/>
              <w:rPr>
                <w:rFonts w:ascii="Times New Roman" w:eastAsia="Times New Roman" w:hAnsi="Times New Roman" w:cs="Times New Roman"/>
                <w:sz w:val="20"/>
                <w:szCs w:val="20"/>
                <w:lang w:val="x-none" w:eastAsia="bg-BG"/>
              </w:rPr>
            </w:pPr>
            <w:r w:rsidRPr="00344970">
              <w:rPr>
                <w:rFonts w:ascii="Times New Roman" w:eastAsia="Times New Roman" w:hAnsi="Times New Roman" w:cs="Times New Roman"/>
                <w:noProof/>
                <w:sz w:val="24"/>
                <w:szCs w:val="20"/>
                <w:lang w:eastAsia="bg-BG"/>
              </w:rPr>
              <w:drawing>
                <wp:inline distT="0" distB="0" distL="0" distR="0" wp14:anchorId="536CF86D" wp14:editId="1683450B">
                  <wp:extent cx="1790700" cy="733425"/>
                  <wp:effectExtent l="0" t="0" r="0" b="9525"/>
                  <wp:docPr id="8" name="Картина 8" descr="Описание: logo-bg-right-no-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descr="Описание: logo-bg-right-no-bac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90700" cy="733425"/>
                          </a:xfrm>
                          <a:prstGeom prst="rect">
                            <a:avLst/>
                          </a:prstGeom>
                          <a:noFill/>
                          <a:ln>
                            <a:noFill/>
                          </a:ln>
                        </pic:spPr>
                      </pic:pic>
                    </a:graphicData>
                  </a:graphic>
                </wp:inline>
              </w:drawing>
            </w:r>
          </w:p>
        </w:tc>
        <w:tc>
          <w:tcPr>
            <w:tcW w:w="1071" w:type="pct"/>
            <w:hideMark/>
          </w:tcPr>
          <w:p w:rsidR="00344970" w:rsidRPr="00344970" w:rsidRDefault="00344970" w:rsidP="00344970">
            <w:pPr>
              <w:spacing w:after="0" w:line="276" w:lineRule="auto"/>
              <w:jc w:val="both"/>
              <w:rPr>
                <w:rFonts w:ascii="Times New Roman" w:eastAsia="Times New Roman" w:hAnsi="Times New Roman" w:cs="Times New Roman"/>
                <w:sz w:val="20"/>
                <w:szCs w:val="20"/>
                <w:lang w:val="x-none" w:eastAsia="bg-BG"/>
              </w:rPr>
            </w:pPr>
          </w:p>
          <w:p w:rsidR="00344970" w:rsidRPr="00344970" w:rsidRDefault="00344970" w:rsidP="00344970">
            <w:pPr>
              <w:spacing w:after="0" w:line="276" w:lineRule="auto"/>
              <w:jc w:val="center"/>
              <w:rPr>
                <w:rFonts w:ascii="Times New Roman" w:eastAsia="Times New Roman" w:hAnsi="Times New Roman" w:cs="Times New Roman"/>
                <w:sz w:val="20"/>
                <w:szCs w:val="20"/>
                <w:lang w:val="x-none" w:eastAsia="bg-BG"/>
              </w:rPr>
            </w:pPr>
            <w:r w:rsidRPr="00344970">
              <w:rPr>
                <w:rFonts w:ascii="Times New Roman" w:eastAsia="Times New Roman" w:hAnsi="Times New Roman" w:cs="Times New Roman"/>
                <w:noProof/>
                <w:sz w:val="20"/>
                <w:szCs w:val="20"/>
                <w:lang w:eastAsia="bg-BG"/>
              </w:rPr>
              <w:drawing>
                <wp:inline distT="0" distB="0" distL="0" distR="0" wp14:anchorId="44FC697F" wp14:editId="22681750">
                  <wp:extent cx="1381125" cy="495300"/>
                  <wp:effectExtent l="0" t="0" r="9525" b="0"/>
                  <wp:docPr id="9" name="Картина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495300"/>
                          </a:xfrm>
                          <a:prstGeom prst="rect">
                            <a:avLst/>
                          </a:prstGeom>
                          <a:noFill/>
                          <a:ln>
                            <a:noFill/>
                          </a:ln>
                        </pic:spPr>
                      </pic:pic>
                    </a:graphicData>
                  </a:graphic>
                </wp:inline>
              </w:drawing>
            </w:r>
          </w:p>
        </w:tc>
      </w:tr>
      <w:tr w:rsidR="00344970" w:rsidRPr="00344970" w:rsidTr="00191937">
        <w:trPr>
          <w:trHeight w:val="268"/>
        </w:trPr>
        <w:tc>
          <w:tcPr>
            <w:tcW w:w="5000" w:type="pct"/>
            <w:gridSpan w:val="4"/>
            <w:vAlign w:val="center"/>
          </w:tcPr>
          <w:p w:rsidR="00344970" w:rsidRPr="00344970" w:rsidRDefault="00344970" w:rsidP="00344970">
            <w:pPr>
              <w:spacing w:after="0" w:line="276" w:lineRule="auto"/>
              <w:jc w:val="center"/>
              <w:rPr>
                <w:rFonts w:ascii="Times New Roman" w:eastAsia="Times New Roman" w:hAnsi="Times New Roman" w:cs="Times New Roman"/>
                <w:iCs/>
                <w:sz w:val="20"/>
                <w:szCs w:val="20"/>
                <w:lang w:eastAsia="bg-BG"/>
              </w:rPr>
            </w:pPr>
            <w:r w:rsidRPr="00344970">
              <w:rPr>
                <w:rFonts w:ascii="Times New Roman" w:eastAsia="Times New Roman" w:hAnsi="Times New Roman" w:cs="Times New Roman"/>
                <w:b/>
                <w:iCs/>
                <w:spacing w:val="3"/>
                <w:sz w:val="24"/>
                <w:szCs w:val="20"/>
                <w:lang w:eastAsia="bg-BG"/>
              </w:rPr>
              <w:t xml:space="preserve"> </w:t>
            </w:r>
            <w:r w:rsidRPr="00344970">
              <w:rPr>
                <w:rFonts w:ascii="Times New Roman" w:eastAsia="Times New Roman" w:hAnsi="Times New Roman" w:cs="Times New Roman"/>
                <w:iCs/>
                <w:sz w:val="20"/>
                <w:szCs w:val="20"/>
                <w:lang w:eastAsia="bg-BG"/>
              </w:rPr>
              <w:t>ЕВРОПЕЙСКИ ЗЕМЕДЕЛСКИ ФОНД ЗА РАЗВИТИЕ НА СЕЛСКИТЕ РАЙОНИ –</w:t>
            </w:r>
          </w:p>
          <w:p w:rsidR="00344970" w:rsidRPr="00344970" w:rsidRDefault="00344970" w:rsidP="00344970">
            <w:pPr>
              <w:spacing w:after="0" w:line="276" w:lineRule="auto"/>
              <w:jc w:val="center"/>
              <w:rPr>
                <w:rFonts w:ascii="Times New Roman" w:eastAsia="Times New Roman" w:hAnsi="Times New Roman" w:cs="Times New Roman"/>
                <w:iCs/>
                <w:sz w:val="20"/>
                <w:szCs w:val="20"/>
                <w:lang w:eastAsia="bg-BG"/>
              </w:rPr>
            </w:pPr>
            <w:r w:rsidRPr="00344970">
              <w:rPr>
                <w:rFonts w:ascii="Times New Roman" w:eastAsia="Times New Roman" w:hAnsi="Times New Roman" w:cs="Times New Roman"/>
                <w:iCs/>
                <w:sz w:val="20"/>
                <w:szCs w:val="20"/>
                <w:lang w:eastAsia="bg-BG"/>
              </w:rPr>
              <w:t xml:space="preserve">ЕВРОПА ИНВЕСТИРА В СЕЛСКИТЕ РАЙОНИ </w:t>
            </w:r>
          </w:p>
        </w:tc>
      </w:tr>
    </w:tbl>
    <w:p w:rsidR="00AF63ED" w:rsidRPr="00B829D5" w:rsidRDefault="00AF63ED" w:rsidP="00AF63ED">
      <w:pPr>
        <w:shd w:val="clear" w:color="auto" w:fill="FEFEFE"/>
        <w:spacing w:after="0" w:line="240" w:lineRule="auto"/>
        <w:rPr>
          <w:rFonts w:ascii="Times New Roman" w:eastAsia="Times New Roman" w:hAnsi="Times New Roman" w:cs="Times New Roman"/>
          <w:color w:val="000000"/>
          <w:lang w:eastAsia="bg-BG"/>
        </w:rPr>
      </w:pPr>
      <w:bookmarkStart w:id="0" w:name="_GoBack"/>
      <w:bookmarkEnd w:id="0"/>
    </w:p>
    <w:p w:rsidR="00AF63ED" w:rsidRPr="00B31875" w:rsidRDefault="00AF63ED" w:rsidP="00AF63ED">
      <w:pPr>
        <w:shd w:val="clear" w:color="auto" w:fill="FEFEFE"/>
        <w:spacing w:after="0" w:line="240" w:lineRule="auto"/>
        <w:rPr>
          <w:rFonts w:ascii="Verdana" w:eastAsia="Times New Roman" w:hAnsi="Verdana" w:cs="Times New Roman"/>
          <w:color w:val="000000"/>
          <w:lang w:eastAsia="bg-BG"/>
        </w:rPr>
      </w:pPr>
    </w:p>
    <w:tbl>
      <w:tblPr>
        <w:tblW w:w="0" w:type="auto"/>
        <w:tblCellMar>
          <w:left w:w="0" w:type="dxa"/>
          <w:right w:w="0" w:type="dxa"/>
        </w:tblCellMar>
        <w:tblLook w:val="04A0" w:firstRow="1" w:lastRow="0" w:firstColumn="1" w:lastColumn="0" w:noHBand="0" w:noVBand="1"/>
      </w:tblPr>
      <w:tblGrid>
        <w:gridCol w:w="9216"/>
      </w:tblGrid>
      <w:tr w:rsidR="00D56025" w:rsidRPr="00D56025" w:rsidTr="00464FEF">
        <w:tc>
          <w:tcPr>
            <w:tcW w:w="9192" w:type="dxa"/>
            <w:tcBorders>
              <w:top w:val="nil"/>
              <w:left w:val="nil"/>
              <w:bottom w:val="nil"/>
              <w:right w:val="nil"/>
            </w:tcBorders>
            <w:tcMar>
              <w:top w:w="0" w:type="dxa"/>
              <w:left w:w="108" w:type="dxa"/>
              <w:bottom w:w="0" w:type="dxa"/>
              <w:right w:w="108" w:type="dxa"/>
            </w:tcMar>
            <w:vAlign w:val="center"/>
            <w:hideMark/>
          </w:tcPr>
          <w:p w:rsidR="00AF63ED" w:rsidRPr="00D56025" w:rsidRDefault="00AF63ED" w:rsidP="00464FEF">
            <w:pPr>
              <w:spacing w:before="113" w:after="57" w:line="242" w:lineRule="atLeast"/>
              <w:jc w:val="center"/>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b/>
                <w:bCs/>
                <w:sz w:val="24"/>
                <w:szCs w:val="24"/>
                <w:lang w:eastAsia="bg-BG"/>
              </w:rPr>
              <w:t>ДЕКЛАРАЦИЯ ЗА НЕРЕДНОСТИ</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Долуподписаният/ата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(име, презиме, фамилия)</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ЕГН ..............................................., притежаващ лична карта №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издадена на ......................................... от МВР - гр. ...........................................................,</w:t>
            </w:r>
          </w:p>
          <w:p w:rsidR="00AF63ED" w:rsidRPr="00D56025" w:rsidRDefault="00AF63ED" w:rsidP="00AF63ED">
            <w:pPr>
              <w:spacing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w:t>
            </w:r>
            <w:r w:rsidRPr="00D56025">
              <w:rPr>
                <w:rFonts w:ascii="Times New Roman" w:eastAsia="Times New Roman" w:hAnsi="Times New Roman" w:cs="Times New Roman"/>
                <w:i/>
                <w:iCs/>
                <w:sz w:val="24"/>
                <w:szCs w:val="24"/>
                <w:lang w:eastAsia="bg-BG"/>
              </w:rPr>
              <w:t>(дата на издаване)                                                    (място на издаване)</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адрес: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(постоянен адрес)</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в качеството си на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(посочват се длъжността и качеството, в което лицето има право да представлява и управлява)</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на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(наименование на кандидата)</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вписано в регистър на Окръжен съд ........................................., №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със седалище ......................................... и адрес на управление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тел.: ..................................., факс: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xml:space="preserve">БУЛСТАТ ........................................ - кандидат/получател на помощ по </w:t>
            </w:r>
            <w:proofErr w:type="spellStart"/>
            <w:r w:rsidRPr="00D56025">
              <w:rPr>
                <w:rFonts w:ascii="Times New Roman" w:eastAsia="Times New Roman" w:hAnsi="Times New Roman" w:cs="Times New Roman"/>
                <w:sz w:val="24"/>
                <w:szCs w:val="24"/>
                <w:lang w:eastAsia="bg-BG"/>
              </w:rPr>
              <w:t>подмярка</w:t>
            </w:r>
            <w:proofErr w:type="spellEnd"/>
            <w:r w:rsidRPr="00D56025">
              <w:rPr>
                <w:rFonts w:ascii="Times New Roman" w:eastAsia="Times New Roman" w:hAnsi="Times New Roman" w:cs="Times New Roman"/>
                <w:sz w:val="24"/>
                <w:szCs w:val="24"/>
                <w:lang w:eastAsia="bg-BG"/>
              </w:rPr>
              <w:t xml:space="preserve"> 19.2 "Прилагане на операции в рамките на стратегии за Водено от общностите местно развитие" на мярка 19 "Водено от общностите местно развитие",</w:t>
            </w:r>
          </w:p>
          <w:p w:rsidR="00AF63ED" w:rsidRPr="00D56025" w:rsidRDefault="00AF63ED" w:rsidP="00464FEF">
            <w:pPr>
              <w:spacing w:before="113" w:after="57" w:line="242" w:lineRule="atLeast"/>
              <w:jc w:val="center"/>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ДЕКЛАРИРАМ, ЧЕ:</w:t>
            </w:r>
          </w:p>
          <w:p w:rsidR="00AF63ED" w:rsidRPr="00D56025" w:rsidRDefault="00AF63ED" w:rsidP="00AF63ED">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xml:space="preserve">1. запознат/а съм с определението за нередност съгласно Регламент (ЕС) № 1303/2013 на Европейския парламент и на Съвета от 2013 г., а именно: Под "нередност" трябва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w:t>
            </w:r>
            <w:r w:rsidRPr="00D56025">
              <w:rPr>
                <w:rFonts w:ascii="Times New Roman" w:eastAsia="Times New Roman" w:hAnsi="Times New Roman" w:cs="Times New Roman"/>
                <w:sz w:val="24"/>
                <w:szCs w:val="24"/>
                <w:lang w:eastAsia="bg-BG"/>
              </w:rPr>
              <w:lastRenderedPageBreak/>
              <w:t>неправомерен разход в бюджета на Съюза;</w:t>
            </w:r>
          </w:p>
          <w:p w:rsidR="00AF63ED" w:rsidRPr="00D56025" w:rsidRDefault="00AF63ED" w:rsidP="00AF63ED">
            <w:pPr>
              <w:spacing w:before="100" w:beforeAutospacing="1"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2. запознат/а съм с определението за измама съгласно чл. 1, параграф 1, буква "а" от Конвенцията, съставена на основание член К.3 от Договора за Европейския съюз, за защита на финансовите интереси на Европейските общности (ОВ, L 316 от 1995 г.), а именно: Под "измама" трябва да се разбира всяко умишлено действие или бездействие, свързано със:</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укриване на информация в нарушение на конкретно задължение, водещо до резултатите, споменати в предходната подточка;</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използването на такива средства за цели, различни от тези, за които са отпуснати първоначално;</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злоупотреба на правомерно получена облага със същия ефект;</w:t>
            </w:r>
          </w:p>
          <w:p w:rsidR="00AF63ED" w:rsidRPr="00D56025" w:rsidRDefault="00AF63ED" w:rsidP="00AF63ED">
            <w:pPr>
              <w:spacing w:before="100" w:beforeAutospacing="1"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3. запознат/а съм с възможните начини, по които мога да подам сигнал за наличие на нередности и измами или за съмнение за нередност или измама, а именно:</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служителя по нередности в ДФЗ или в Министерството на земеделието, храните и горите.</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При наличие или съмнение за връзка на някое от лицата, на които трябва да се подават сигналите за нередности, със случая на нередност информацията се подава директно до един или до няколко от следните органи:</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изпълнителния директор на ДФЗ;</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ръководителя на Управляващия орган на Програмата за развитие на селските райони за периода 2014 - 2020 г.;</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"Координация на борбата с правонарушенията, засягащи финансовите интереси на Европейските общности" в Министерството на вътрешните работи;</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Европейската служба за борба с измамите (ОЛАФ) към Европейската комисия.</w:t>
            </w:r>
          </w:p>
          <w:p w:rsidR="00AF63ED" w:rsidRPr="00D56025" w:rsidRDefault="00AF63ED" w:rsidP="00464FEF">
            <w:pPr>
              <w:spacing w:before="170" w:after="100" w:afterAutospacing="1" w:line="242" w:lineRule="atLeast"/>
              <w:textAlignment w:val="center"/>
              <w:rPr>
                <w:rFonts w:ascii="Times New Roman" w:eastAsia="Times New Roman" w:hAnsi="Times New Roman" w:cs="Times New Roman"/>
                <w:sz w:val="24"/>
                <w:szCs w:val="24"/>
                <w:lang w:val="en-US" w:eastAsia="bg-BG"/>
              </w:rPr>
            </w:pPr>
          </w:p>
          <w:p w:rsidR="00AF63ED" w:rsidRPr="00D56025" w:rsidRDefault="00AF63ED" w:rsidP="00464FEF">
            <w:pPr>
              <w:spacing w:before="170" w:after="100" w:afterAutospacing="1" w:line="242" w:lineRule="atLeast"/>
              <w:textAlignment w:val="center"/>
              <w:rPr>
                <w:rFonts w:ascii="Times New Roman" w:eastAsia="Times New Roman" w:hAnsi="Times New Roman" w:cs="Times New Roman"/>
                <w:sz w:val="24"/>
                <w:szCs w:val="24"/>
                <w:lang w:val="en-US" w:eastAsia="bg-BG"/>
              </w:rPr>
            </w:pPr>
            <w:r w:rsidRPr="00D56025">
              <w:rPr>
                <w:rFonts w:ascii="Times New Roman" w:eastAsia="Times New Roman" w:hAnsi="Times New Roman" w:cs="Times New Roman"/>
                <w:sz w:val="24"/>
                <w:szCs w:val="24"/>
                <w:lang w:eastAsia="bg-BG"/>
              </w:rPr>
              <w:t>......................20 ....... г.                                      Подпис на деклариращия:</w:t>
            </w:r>
            <w:r w:rsidRPr="00D56025">
              <w:rPr>
                <w:rFonts w:ascii="Times New Roman" w:eastAsia="Times New Roman" w:hAnsi="Times New Roman" w:cs="Times New Roman"/>
                <w:sz w:val="24"/>
                <w:szCs w:val="24"/>
                <w:lang w:val="en-US" w:eastAsia="bg-BG"/>
              </w:rPr>
              <w:t>………………</w:t>
            </w:r>
          </w:p>
          <w:p w:rsidR="00AF63ED" w:rsidRPr="00D56025" w:rsidRDefault="00AF63ED" w:rsidP="00AF63ED">
            <w:pPr>
              <w:spacing w:before="100" w:beforeAutospacing="1" w:after="100" w:afterAutospacing="1" w:line="242" w:lineRule="atLeast"/>
              <w:textAlignment w:val="center"/>
              <w:rPr>
                <w:rFonts w:ascii="Times New Roman" w:eastAsia="Times New Roman" w:hAnsi="Times New Roman" w:cs="Times New Roman"/>
                <w:sz w:val="24"/>
                <w:szCs w:val="24"/>
                <w:lang w:val="en-US" w:eastAsia="bg-BG"/>
              </w:rPr>
            </w:pPr>
            <w:r w:rsidRPr="00D56025">
              <w:rPr>
                <w:rFonts w:ascii="Times New Roman" w:eastAsia="Times New Roman" w:hAnsi="Times New Roman" w:cs="Times New Roman"/>
                <w:spacing w:val="-41"/>
                <w:sz w:val="24"/>
                <w:szCs w:val="24"/>
                <w:lang w:eastAsia="bg-BG"/>
              </w:rPr>
              <w:t>_____________________________________________________________________________________________________________</w:t>
            </w:r>
          </w:p>
          <w:p w:rsidR="00AF63ED" w:rsidRPr="00D56025" w:rsidRDefault="00AF63ED" w:rsidP="00EC5966">
            <w:pPr>
              <w:spacing w:before="100" w:beforeAutospacing="1" w:after="100" w:afterAutospacing="1" w:line="240" w:lineRule="auto"/>
              <w:jc w:val="both"/>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vertAlign w:val="superscript"/>
                <w:lang w:eastAsia="bg-BG"/>
              </w:rPr>
              <w:t>(*1)</w:t>
            </w:r>
            <w:r w:rsidRPr="00D56025">
              <w:rPr>
                <w:rFonts w:ascii="Times New Roman" w:eastAsia="Times New Roman" w:hAnsi="Times New Roman" w:cs="Times New Roman"/>
                <w:sz w:val="24"/>
                <w:szCs w:val="24"/>
                <w:lang w:eastAsia="bg-BG"/>
              </w:rPr>
              <w:t> </w:t>
            </w:r>
            <w:r w:rsidR="00EC5966">
              <w:rPr>
                <w:rFonts w:ascii="Times New Roman" w:eastAsia="Times New Roman" w:hAnsi="Times New Roman"/>
                <w:i/>
                <w:lang w:eastAsia="bg-BG"/>
              </w:rPr>
              <w:t>Декларацията се подписва задължително от представляващия и управляващия кандидата. Когато управляващите кандидата са повече от едно лице, декларацията се попълва и подава по един екземпляр за всички лица от управителните органи на кандидата, а в случай че членове са юридически лица – от техния представител в съответния управителен орган и от прокуристите и търговските пълномощници, когато има такива</w:t>
            </w:r>
          </w:p>
        </w:tc>
      </w:tr>
    </w:tbl>
    <w:p w:rsidR="00A37662" w:rsidRDefault="00A37662" w:rsidP="00D50938"/>
    <w:sectPr w:rsidR="00A37662" w:rsidSect="0022718D">
      <w:pgSz w:w="11906" w:h="16838"/>
      <w:pgMar w:top="1276"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978"/>
    <w:rsid w:val="0022718D"/>
    <w:rsid w:val="00344970"/>
    <w:rsid w:val="003522AE"/>
    <w:rsid w:val="003B7873"/>
    <w:rsid w:val="00427461"/>
    <w:rsid w:val="00952AE6"/>
    <w:rsid w:val="00A37662"/>
    <w:rsid w:val="00AF63ED"/>
    <w:rsid w:val="00B21BAA"/>
    <w:rsid w:val="00B829D5"/>
    <w:rsid w:val="00C95978"/>
    <w:rsid w:val="00D50938"/>
    <w:rsid w:val="00D56025"/>
    <w:rsid w:val="00DB7BC9"/>
    <w:rsid w:val="00EC5966"/>
    <w:rsid w:val="00F55C4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224BC3-9F59-4EB4-8A3C-6CEBDB0BC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63ED"/>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7873"/>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3B78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07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emf"/><Relationship Id="rId9"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753</Words>
  <Characters>4296</Characters>
  <Application>Microsoft Office Word</Application>
  <DocSecurity>0</DocSecurity>
  <Lines>35</Lines>
  <Paragraphs>10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MIG Maritsa</cp:lastModifiedBy>
  <cp:revision>13</cp:revision>
  <dcterms:created xsi:type="dcterms:W3CDTF">2018-02-15T08:43:00Z</dcterms:created>
  <dcterms:modified xsi:type="dcterms:W3CDTF">2023-06-28T11:56:00Z</dcterms:modified>
</cp:coreProperties>
</file>